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1702"/>
        <w:tblW w:w="7508" w:type="dxa"/>
        <w:tblLook w:val="04A0" w:firstRow="1" w:lastRow="0" w:firstColumn="1" w:lastColumn="0" w:noHBand="0" w:noVBand="1"/>
      </w:tblPr>
      <w:tblGrid>
        <w:gridCol w:w="843"/>
        <w:gridCol w:w="1562"/>
        <w:gridCol w:w="5103"/>
      </w:tblGrid>
      <w:tr w:rsidR="006637A9" w:rsidRPr="008A223C" w14:paraId="453B8FA4" w14:textId="77777777" w:rsidTr="006637A9">
        <w:trPr>
          <w:trHeight w:val="1124"/>
        </w:trPr>
        <w:tc>
          <w:tcPr>
            <w:tcW w:w="843" w:type="dxa"/>
            <w:vMerge w:val="restart"/>
            <w:vAlign w:val="center"/>
          </w:tcPr>
          <w:p w14:paraId="011D332F" w14:textId="77777777" w:rsidR="006637A9" w:rsidRPr="008A223C" w:rsidRDefault="006637A9" w:rsidP="00BD079A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MAYO 12</w:t>
            </w:r>
          </w:p>
        </w:tc>
        <w:tc>
          <w:tcPr>
            <w:tcW w:w="1562" w:type="dxa"/>
            <w:vAlign w:val="center"/>
          </w:tcPr>
          <w:p w14:paraId="58414CF7" w14:textId="77777777" w:rsidR="006637A9" w:rsidRPr="008A223C" w:rsidRDefault="006637A9" w:rsidP="00417CBD">
            <w:pPr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5:00 a 5:05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1BDB4039" w14:textId="067F358A" w:rsidR="006637A9" w:rsidRPr="008A223C" w:rsidRDefault="006637A9" w:rsidP="00BD07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Bienvenida - </w:t>
            </w:r>
            <w:r w:rsidRPr="008A223C">
              <w:rPr>
                <w:b/>
                <w:bCs/>
                <w:sz w:val="20"/>
                <w:szCs w:val="20"/>
              </w:rPr>
              <w:t>Dra. Erika Ruiz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8A223C">
              <w:rPr>
                <w:sz w:val="20"/>
                <w:szCs w:val="20"/>
              </w:rPr>
              <w:t>Vicerrectora Académica</w:t>
            </w:r>
            <w:r>
              <w:rPr>
                <w:sz w:val="20"/>
                <w:szCs w:val="20"/>
              </w:rPr>
              <w:t xml:space="preserve"> - Corporación Universitaria de Asturias</w:t>
            </w:r>
          </w:p>
        </w:tc>
      </w:tr>
      <w:tr w:rsidR="006637A9" w:rsidRPr="008A223C" w14:paraId="3E1F2FB8" w14:textId="77777777" w:rsidTr="006637A9">
        <w:trPr>
          <w:trHeight w:val="1270"/>
        </w:trPr>
        <w:tc>
          <w:tcPr>
            <w:tcW w:w="843" w:type="dxa"/>
            <w:vMerge/>
          </w:tcPr>
          <w:p w14:paraId="1902649E" w14:textId="77777777" w:rsidR="006637A9" w:rsidRPr="008A223C" w:rsidRDefault="006637A9" w:rsidP="00BD079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0BDAB34E" w14:textId="77777777" w:rsidR="006637A9" w:rsidRPr="008A223C" w:rsidRDefault="006637A9" w:rsidP="00417CBD">
            <w:pPr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5:05 a 5:25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636F410B" w14:textId="77777777" w:rsidR="006637A9" w:rsidRPr="008A223C" w:rsidRDefault="006637A9" w:rsidP="00BD079A">
            <w:pPr>
              <w:rPr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Dr. Alfredo Guzm</w:t>
            </w:r>
            <w:r>
              <w:rPr>
                <w:b/>
                <w:bCs/>
                <w:sz w:val="20"/>
                <w:szCs w:val="20"/>
              </w:rPr>
              <w:t>á</w:t>
            </w:r>
            <w:r w:rsidRPr="008A223C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8A223C">
              <w:rPr>
                <w:sz w:val="20"/>
                <w:szCs w:val="20"/>
              </w:rPr>
              <w:t xml:space="preserve">Importancia del proceso investigativo en </w:t>
            </w:r>
            <w:r>
              <w:rPr>
                <w:sz w:val="20"/>
                <w:szCs w:val="20"/>
              </w:rPr>
              <w:t>la Corporación Universitaria de Asturias</w:t>
            </w:r>
          </w:p>
        </w:tc>
      </w:tr>
      <w:tr w:rsidR="006637A9" w:rsidRPr="008A223C" w14:paraId="6D74AB8B" w14:textId="77777777" w:rsidTr="006637A9">
        <w:trPr>
          <w:trHeight w:val="1260"/>
        </w:trPr>
        <w:tc>
          <w:tcPr>
            <w:tcW w:w="843" w:type="dxa"/>
            <w:vMerge/>
          </w:tcPr>
          <w:p w14:paraId="4D766ED3" w14:textId="77777777" w:rsidR="006637A9" w:rsidRPr="008A223C" w:rsidRDefault="006637A9" w:rsidP="00BD079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53866B58" w14:textId="77777777" w:rsidR="006637A9" w:rsidRPr="008A223C" w:rsidRDefault="006637A9" w:rsidP="00417CBD">
            <w:pPr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5:25 a 5:30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7868F464" w14:textId="787F111B" w:rsidR="006637A9" w:rsidRPr="008A223C" w:rsidRDefault="006637A9" w:rsidP="00BD079A">
            <w:pPr>
              <w:rPr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Mg. Gina Ort</w:t>
            </w:r>
            <w:r>
              <w:rPr>
                <w:b/>
                <w:bCs/>
                <w:sz w:val="20"/>
                <w:szCs w:val="20"/>
              </w:rPr>
              <w:t>í</w:t>
            </w:r>
            <w:r w:rsidRPr="008A223C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8A223C">
              <w:rPr>
                <w:b/>
                <w:bCs/>
                <w:sz w:val="20"/>
                <w:szCs w:val="20"/>
              </w:rPr>
              <w:t xml:space="preserve"> </w:t>
            </w:r>
            <w:r w:rsidRPr="008A223C">
              <w:rPr>
                <w:sz w:val="20"/>
                <w:szCs w:val="20"/>
              </w:rPr>
              <w:t>Intervención Coordinadora Académica Programa de Negocios Internacionales</w:t>
            </w:r>
            <w:r>
              <w:rPr>
                <w:sz w:val="20"/>
                <w:szCs w:val="20"/>
              </w:rPr>
              <w:t xml:space="preserve"> Corporación Universitaria de Asturias</w:t>
            </w:r>
          </w:p>
        </w:tc>
      </w:tr>
      <w:tr w:rsidR="006637A9" w:rsidRPr="008A223C" w14:paraId="1FEEDD1A" w14:textId="77777777" w:rsidTr="006637A9">
        <w:trPr>
          <w:trHeight w:val="1136"/>
        </w:trPr>
        <w:tc>
          <w:tcPr>
            <w:tcW w:w="843" w:type="dxa"/>
            <w:vMerge/>
          </w:tcPr>
          <w:p w14:paraId="2FE5E038" w14:textId="77777777" w:rsidR="006637A9" w:rsidRPr="008A223C" w:rsidRDefault="006637A9" w:rsidP="00BD079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0D78D67" w14:textId="77777777" w:rsidR="006637A9" w:rsidRPr="008A223C" w:rsidRDefault="006637A9" w:rsidP="00417CBD">
            <w:pPr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5:35 a 6:05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415CCB45" w14:textId="4D9CA054" w:rsidR="006637A9" w:rsidRPr="008A223C" w:rsidRDefault="006637A9" w:rsidP="00BD079A">
            <w:pPr>
              <w:rPr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Mg. Andrea Guerrero</w:t>
            </w:r>
            <w:r>
              <w:rPr>
                <w:b/>
                <w:bCs/>
                <w:sz w:val="20"/>
                <w:szCs w:val="20"/>
              </w:rPr>
              <w:t xml:space="preserve"> Robayo.</w:t>
            </w:r>
            <w:r w:rsidRPr="008A223C">
              <w:rPr>
                <w:sz w:val="20"/>
                <w:szCs w:val="20"/>
              </w:rPr>
              <w:t> Retos de la internacionalización de la agroindustria en Colombia</w:t>
            </w:r>
          </w:p>
        </w:tc>
      </w:tr>
      <w:tr w:rsidR="006637A9" w:rsidRPr="008A223C" w14:paraId="612AD545" w14:textId="77777777" w:rsidTr="006637A9">
        <w:trPr>
          <w:trHeight w:val="1252"/>
        </w:trPr>
        <w:tc>
          <w:tcPr>
            <w:tcW w:w="843" w:type="dxa"/>
            <w:vMerge/>
          </w:tcPr>
          <w:p w14:paraId="29A4E96A" w14:textId="77777777" w:rsidR="006637A9" w:rsidRPr="008A223C" w:rsidRDefault="006637A9" w:rsidP="00BD079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bottom"/>
          </w:tcPr>
          <w:p w14:paraId="369B5F79" w14:textId="77777777" w:rsidR="006637A9" w:rsidRPr="008A223C" w:rsidRDefault="006637A9" w:rsidP="00417CBD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6:10 a 6:40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0639597D" w14:textId="482A8C32" w:rsidR="006637A9" w:rsidRPr="008A223C" w:rsidRDefault="006637A9" w:rsidP="00BD079A">
            <w:pPr>
              <w:rPr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Dra. Marelby Amado Mateus.</w:t>
            </w:r>
            <w:r w:rsidRPr="008A223C">
              <w:rPr>
                <w:sz w:val="20"/>
                <w:szCs w:val="20"/>
              </w:rPr>
              <w:t xml:space="preserve"> De la eficiencia operativa a la legitimidad global: la inteligencia artificial como señal estratégica en empresas exportadoras sostenibles</w:t>
            </w:r>
          </w:p>
        </w:tc>
      </w:tr>
      <w:tr w:rsidR="006637A9" w:rsidRPr="008A223C" w14:paraId="3E9631E3" w14:textId="77777777" w:rsidTr="006637A9">
        <w:trPr>
          <w:trHeight w:val="471"/>
        </w:trPr>
        <w:tc>
          <w:tcPr>
            <w:tcW w:w="843" w:type="dxa"/>
            <w:vMerge/>
          </w:tcPr>
          <w:p w14:paraId="4344A620" w14:textId="77777777" w:rsidR="006637A9" w:rsidRPr="008A223C" w:rsidRDefault="006637A9" w:rsidP="00BD079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3BA60406" w14:textId="77777777" w:rsidR="006637A9" w:rsidRPr="008A223C" w:rsidRDefault="006637A9" w:rsidP="00417CBD">
            <w:pPr>
              <w:jc w:val="center"/>
              <w:rPr>
                <w:sz w:val="20"/>
                <w:szCs w:val="20"/>
              </w:rPr>
            </w:pPr>
            <w:r w:rsidRPr="008A223C">
              <w:rPr>
                <w:sz w:val="20"/>
                <w:szCs w:val="20"/>
              </w:rPr>
              <w:t>6:45 a 7:15 p</w:t>
            </w:r>
            <w:r>
              <w:rPr>
                <w:sz w:val="20"/>
                <w:szCs w:val="20"/>
              </w:rPr>
              <w:t>.</w:t>
            </w:r>
            <w:r w:rsidRPr="008A223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5B71FA25" w14:textId="42A8C654" w:rsidR="006637A9" w:rsidRPr="008A223C" w:rsidRDefault="006637A9" w:rsidP="00BD079A">
            <w:pPr>
              <w:rPr>
                <w:sz w:val="20"/>
                <w:szCs w:val="20"/>
              </w:rPr>
            </w:pPr>
            <w:r w:rsidRPr="008A223C">
              <w:rPr>
                <w:b/>
                <w:bCs/>
                <w:sz w:val="20"/>
                <w:szCs w:val="20"/>
              </w:rPr>
              <w:t>Mg. Víctor Juarez</w:t>
            </w:r>
            <w:r>
              <w:rPr>
                <w:b/>
                <w:bCs/>
                <w:sz w:val="20"/>
                <w:szCs w:val="20"/>
              </w:rPr>
              <w:t xml:space="preserve"> Chacón. </w:t>
            </w:r>
            <w:r w:rsidRPr="008A223C">
              <w:rPr>
                <w:sz w:val="20"/>
                <w:szCs w:val="20"/>
              </w:rPr>
              <w:t>Análisis de las estrategias de innovación sostenible dentro de las empresas del sector farmacéutico de la Unión Europea para fortalecer sus procesos de internacionalización en América Latina.</w:t>
            </w:r>
          </w:p>
        </w:tc>
      </w:tr>
    </w:tbl>
    <w:p w14:paraId="61D05930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  <w:r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  <w:t xml:space="preserve">II Encuentro de Megatendencias de los Negocios Internacionales: </w:t>
      </w:r>
      <w:r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  <w:br/>
      </w:r>
      <w:r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  <w:t>“Transformaciones digitales, sostenibles y geopolíticas en la competitividad global”</w:t>
      </w:r>
    </w:p>
    <w:p w14:paraId="511B3DE3" w14:textId="77777777" w:rsidR="00AE49F3" w:rsidRDefault="00AE49F3" w:rsidP="00BD079A">
      <w:pPr>
        <w:spacing w:line="216" w:lineRule="auto"/>
        <w:rPr>
          <w:rFonts w:ascii="Aptos Display" w:eastAsia="+mj-ea" w:hAnsi="Aptos Display" w:cs="+mj-cs"/>
          <w:b/>
          <w:bCs/>
          <w:kern w:val="24"/>
          <w:sz w:val="28"/>
          <w:szCs w:val="28"/>
        </w:rPr>
      </w:pPr>
      <w:r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                                       </w:t>
      </w:r>
    </w:p>
    <w:p w14:paraId="2D6241B1" w14:textId="4060A4C4" w:rsidR="00BD079A" w:rsidRPr="00BD079A" w:rsidRDefault="00AE49F3" w:rsidP="00BD079A">
      <w:pPr>
        <w:spacing w:line="216" w:lineRule="auto"/>
        <w:rPr>
          <w:rFonts w:ascii="Aptos Display" w:eastAsia="+mj-ea" w:hAnsi="Aptos Display" w:cs="+mj-cs"/>
          <w:b/>
          <w:bCs/>
          <w:kern w:val="24"/>
          <w:sz w:val="28"/>
          <w:szCs w:val="28"/>
        </w:rPr>
      </w:pPr>
      <w:r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                          </w:t>
      </w:r>
      <w:r w:rsidR="006637A9"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              </w:t>
      </w:r>
      <w:r w:rsidR="00BD079A" w:rsidRPr="00BD079A"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DIA 1. </w:t>
      </w:r>
    </w:p>
    <w:p w14:paraId="7069142B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073E46F2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11937597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2A6F50FA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1EFD5C08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08D700BB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2E275A19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15C8B718" w14:textId="77777777" w:rsidR="00BD079A" w:rsidRDefault="00BD079A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  <w14:ligatures w14:val="none"/>
        </w:rPr>
      </w:pPr>
    </w:p>
    <w:p w14:paraId="55F67B19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23C0E0E6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1614648B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7171636B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66C54508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555B947F" w14:textId="77777777" w:rsidR="00B57A4D" w:rsidRDefault="00B57A4D" w:rsidP="00BD079A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370CFFCF" w14:textId="77777777" w:rsidR="00B57A4D" w:rsidRDefault="00B57A4D" w:rsidP="00B57A4D">
      <w:pPr>
        <w:spacing w:line="216" w:lineRule="auto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2CB10B3B" w14:textId="77777777" w:rsidR="009E3DE8" w:rsidRDefault="009E3DE8" w:rsidP="00B57A4D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2679F77D" w14:textId="77777777" w:rsidR="009E3DE8" w:rsidRDefault="009E3DE8" w:rsidP="00B57A4D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p w14:paraId="2EC8C490" w14:textId="77777777" w:rsidR="009E3DE8" w:rsidRDefault="009E3DE8" w:rsidP="00B57A4D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2891"/>
        <w:tblW w:w="8217" w:type="dxa"/>
        <w:tblLook w:val="04A0" w:firstRow="1" w:lastRow="0" w:firstColumn="1" w:lastColumn="0" w:noHBand="0" w:noVBand="1"/>
      </w:tblPr>
      <w:tblGrid>
        <w:gridCol w:w="752"/>
        <w:gridCol w:w="1795"/>
        <w:gridCol w:w="5670"/>
      </w:tblGrid>
      <w:tr w:rsidR="006637A9" w:rsidRPr="00FB6063" w14:paraId="4F3F2E97" w14:textId="77777777" w:rsidTr="00417CBD">
        <w:trPr>
          <w:trHeight w:val="1266"/>
        </w:trPr>
        <w:tc>
          <w:tcPr>
            <w:tcW w:w="752" w:type="dxa"/>
            <w:vMerge w:val="restart"/>
            <w:vAlign w:val="center"/>
          </w:tcPr>
          <w:p w14:paraId="25FF5E8C" w14:textId="77777777" w:rsidR="006637A9" w:rsidRPr="00FB6063" w:rsidRDefault="006637A9" w:rsidP="0041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FB6063">
              <w:rPr>
                <w:b/>
                <w:bCs/>
                <w:sz w:val="20"/>
                <w:szCs w:val="20"/>
              </w:rPr>
              <w:lastRenderedPageBreak/>
              <w:t>MAYO 13</w:t>
            </w:r>
          </w:p>
        </w:tc>
        <w:tc>
          <w:tcPr>
            <w:tcW w:w="1795" w:type="dxa"/>
            <w:vAlign w:val="center"/>
          </w:tcPr>
          <w:p w14:paraId="50DAEAF6" w14:textId="77777777" w:rsidR="006637A9" w:rsidRPr="00FB6063" w:rsidRDefault="006637A9" w:rsidP="00417CBD">
            <w:pPr>
              <w:rPr>
                <w:sz w:val="20"/>
                <w:szCs w:val="20"/>
              </w:rPr>
            </w:pPr>
            <w:r w:rsidRPr="00FB6063">
              <w:rPr>
                <w:sz w:val="20"/>
                <w:szCs w:val="20"/>
              </w:rPr>
              <w:t>5:00 a 5:05 p.m.</w:t>
            </w:r>
          </w:p>
        </w:tc>
        <w:tc>
          <w:tcPr>
            <w:tcW w:w="5670" w:type="dxa"/>
            <w:vAlign w:val="center"/>
          </w:tcPr>
          <w:p w14:paraId="11A3AD61" w14:textId="4B5F24E7" w:rsidR="006637A9" w:rsidRPr="00FB6063" w:rsidRDefault="006637A9" w:rsidP="00417CBD">
            <w:pPr>
              <w:rPr>
                <w:sz w:val="20"/>
                <w:szCs w:val="20"/>
              </w:rPr>
            </w:pPr>
            <w:r w:rsidRPr="00FB6063">
              <w:rPr>
                <w:b/>
                <w:bCs/>
                <w:sz w:val="20"/>
                <w:szCs w:val="20"/>
              </w:rPr>
              <w:t>Bienvenida a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FB6063">
              <w:rPr>
                <w:b/>
                <w:bCs/>
                <w:sz w:val="20"/>
                <w:szCs w:val="20"/>
              </w:rPr>
              <w:t xml:space="preserve"> día 2. </w:t>
            </w:r>
            <w:r w:rsidRPr="00FB6063">
              <w:rPr>
                <w:sz w:val="20"/>
                <w:szCs w:val="20"/>
              </w:rPr>
              <w:t>Arleth Chaparro Coordinadora de Investigaciones – Corporación Universitaria de Asturias</w:t>
            </w:r>
          </w:p>
        </w:tc>
      </w:tr>
      <w:tr w:rsidR="006637A9" w:rsidRPr="00FB6063" w14:paraId="2CB63870" w14:textId="77777777" w:rsidTr="00417CBD">
        <w:trPr>
          <w:trHeight w:val="1270"/>
        </w:trPr>
        <w:tc>
          <w:tcPr>
            <w:tcW w:w="752" w:type="dxa"/>
            <w:vMerge/>
          </w:tcPr>
          <w:p w14:paraId="45EB3437" w14:textId="77777777" w:rsidR="006637A9" w:rsidRPr="00FB6063" w:rsidRDefault="006637A9" w:rsidP="00417C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6B3F0841" w14:textId="77777777" w:rsidR="006637A9" w:rsidRPr="004A0E64" w:rsidRDefault="006637A9" w:rsidP="00417CBD">
            <w:pPr>
              <w:rPr>
                <w:sz w:val="20"/>
                <w:szCs w:val="20"/>
              </w:rPr>
            </w:pPr>
            <w:r w:rsidRPr="004A0E64">
              <w:rPr>
                <w:sz w:val="20"/>
                <w:szCs w:val="20"/>
              </w:rPr>
              <w:t>6:05 a 6:35 p.m.</w:t>
            </w:r>
          </w:p>
        </w:tc>
        <w:tc>
          <w:tcPr>
            <w:tcW w:w="5670" w:type="dxa"/>
            <w:vAlign w:val="center"/>
          </w:tcPr>
          <w:p w14:paraId="0788F89C" w14:textId="77777777" w:rsidR="006637A9" w:rsidRPr="004A0E64" w:rsidRDefault="006637A9" w:rsidP="00417CBD">
            <w:pPr>
              <w:rPr>
                <w:b/>
                <w:bCs/>
                <w:sz w:val="20"/>
                <w:szCs w:val="20"/>
              </w:rPr>
            </w:pPr>
            <w:r w:rsidRPr="004A0E64">
              <w:rPr>
                <w:b/>
                <w:bCs/>
                <w:sz w:val="20"/>
                <w:szCs w:val="20"/>
              </w:rPr>
              <w:t>Mg. Claudia García Castiblanco.</w:t>
            </w:r>
            <w:r w:rsidRPr="004A0E64">
              <w:rPr>
                <w:b/>
                <w:bCs/>
              </w:rPr>
              <w:t xml:space="preserve"> </w:t>
            </w:r>
            <w:r w:rsidRPr="004A0E64">
              <w:rPr>
                <w:sz w:val="20"/>
                <w:szCs w:val="20"/>
              </w:rPr>
              <w:t>Efecto de la política sobre la inversión extranjera en América Latina</w:t>
            </w:r>
          </w:p>
        </w:tc>
      </w:tr>
      <w:tr w:rsidR="006637A9" w:rsidRPr="00FB6063" w14:paraId="7B8C4DE9" w14:textId="77777777" w:rsidTr="00417CBD">
        <w:trPr>
          <w:trHeight w:val="1245"/>
        </w:trPr>
        <w:tc>
          <w:tcPr>
            <w:tcW w:w="752" w:type="dxa"/>
            <w:vMerge/>
          </w:tcPr>
          <w:p w14:paraId="659FEA44" w14:textId="77777777" w:rsidR="006637A9" w:rsidRPr="00FB6063" w:rsidRDefault="006637A9" w:rsidP="00417C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2EB1AC7" w14:textId="77777777" w:rsidR="006637A9" w:rsidRPr="00FB6063" w:rsidRDefault="006637A9" w:rsidP="00417CBD">
            <w:pPr>
              <w:spacing w:after="160" w:line="278" w:lineRule="auto"/>
              <w:rPr>
                <w:sz w:val="20"/>
                <w:szCs w:val="20"/>
              </w:rPr>
            </w:pPr>
            <w:r w:rsidRPr="00FB6063">
              <w:rPr>
                <w:sz w:val="20"/>
                <w:szCs w:val="20"/>
              </w:rPr>
              <w:t>6:40 a 6:55 p.m.</w:t>
            </w:r>
          </w:p>
        </w:tc>
        <w:tc>
          <w:tcPr>
            <w:tcW w:w="5670" w:type="dxa"/>
            <w:vAlign w:val="center"/>
          </w:tcPr>
          <w:p w14:paraId="13C598D8" w14:textId="77777777" w:rsidR="006637A9" w:rsidRPr="004A0E64" w:rsidRDefault="006637A9" w:rsidP="00417CBD">
            <w:pPr>
              <w:rPr>
                <w:sz w:val="20"/>
                <w:szCs w:val="20"/>
              </w:rPr>
            </w:pPr>
            <w:r w:rsidRPr="004A0E64">
              <w:rPr>
                <w:sz w:val="20"/>
                <w:szCs w:val="20"/>
              </w:rPr>
              <w:t>Diseño de un modelo de control de referencias para optimizar las importaciones en la empresa Almacén Nissan Peugeot S.A.S</w:t>
            </w:r>
          </w:p>
          <w:p w14:paraId="1E85514A" w14:textId="77777777" w:rsidR="006637A9" w:rsidRPr="004A0E64" w:rsidRDefault="006637A9" w:rsidP="00417CBD">
            <w:pPr>
              <w:rPr>
                <w:sz w:val="20"/>
                <w:szCs w:val="20"/>
              </w:rPr>
            </w:pPr>
            <w:r w:rsidRPr="004A0E64">
              <w:rPr>
                <w:b/>
                <w:bCs/>
                <w:sz w:val="20"/>
                <w:szCs w:val="20"/>
              </w:rPr>
              <w:t>Semilleristas Unicafam:</w:t>
            </w:r>
            <w:r w:rsidRPr="004A0E64">
              <w:rPr>
                <w:sz w:val="20"/>
                <w:szCs w:val="20"/>
              </w:rPr>
              <w:t xml:space="preserve"> </w:t>
            </w:r>
            <w:r w:rsidRPr="004A0E64">
              <w:rPr>
                <w:sz w:val="20"/>
                <w:szCs w:val="20"/>
                <w:lang w:val="es-MX"/>
              </w:rPr>
              <w:t>María Fernanda Mora Fandiño, Laura Catalina Yáñez Martínez</w:t>
            </w:r>
          </w:p>
        </w:tc>
      </w:tr>
      <w:tr w:rsidR="006637A9" w:rsidRPr="00FB6063" w14:paraId="355AB0B7" w14:textId="77777777" w:rsidTr="00417CBD">
        <w:trPr>
          <w:trHeight w:val="940"/>
        </w:trPr>
        <w:tc>
          <w:tcPr>
            <w:tcW w:w="752" w:type="dxa"/>
            <w:vMerge/>
          </w:tcPr>
          <w:p w14:paraId="5095CF2A" w14:textId="77777777" w:rsidR="006637A9" w:rsidRPr="00FB6063" w:rsidRDefault="006637A9" w:rsidP="00417C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E397146" w14:textId="77777777" w:rsidR="006637A9" w:rsidRPr="00FB6063" w:rsidRDefault="006637A9" w:rsidP="00417CBD">
            <w:pPr>
              <w:rPr>
                <w:sz w:val="20"/>
                <w:szCs w:val="20"/>
              </w:rPr>
            </w:pPr>
            <w:r w:rsidRPr="00FB6063">
              <w:rPr>
                <w:sz w:val="20"/>
                <w:szCs w:val="20"/>
              </w:rPr>
              <w:t>6:55 a 7:10 p.m.</w:t>
            </w:r>
          </w:p>
        </w:tc>
        <w:tc>
          <w:tcPr>
            <w:tcW w:w="5670" w:type="dxa"/>
            <w:vAlign w:val="center"/>
          </w:tcPr>
          <w:p w14:paraId="56E3C038" w14:textId="77777777" w:rsidR="006637A9" w:rsidRPr="004A0E64" w:rsidRDefault="006637A9" w:rsidP="00417CBD">
            <w:pPr>
              <w:rPr>
                <w:sz w:val="20"/>
                <w:szCs w:val="20"/>
                <w:lang w:val="es-MX"/>
              </w:rPr>
            </w:pPr>
            <w:r w:rsidRPr="004A0E64">
              <w:rPr>
                <w:sz w:val="20"/>
                <w:szCs w:val="20"/>
                <w:lang w:val="es-MX"/>
              </w:rPr>
              <w:t>Análisis de estrategias de marketing digital y e-commerce para potenciar el posicionamiento del Almacén Nissan Peugeot en el mercado de autopartes de Bogotá</w:t>
            </w:r>
          </w:p>
          <w:p w14:paraId="7A51F616" w14:textId="77777777" w:rsidR="006637A9" w:rsidRPr="004A0E64" w:rsidRDefault="006637A9" w:rsidP="00417CBD">
            <w:pPr>
              <w:rPr>
                <w:sz w:val="20"/>
                <w:szCs w:val="20"/>
                <w:lang w:val="es-MX"/>
              </w:rPr>
            </w:pPr>
            <w:r w:rsidRPr="004A0E64">
              <w:rPr>
                <w:b/>
                <w:bCs/>
                <w:sz w:val="20"/>
                <w:szCs w:val="20"/>
              </w:rPr>
              <w:t xml:space="preserve">Semilleristas Unicafam: </w:t>
            </w:r>
            <w:r w:rsidRPr="004A0E64">
              <w:rPr>
                <w:sz w:val="20"/>
                <w:szCs w:val="20"/>
                <w:lang w:val="es-MX"/>
              </w:rPr>
              <w:t>Daniela Grisales Mosquera, Thania Camila Cifuentes Torres</w:t>
            </w:r>
            <w:r>
              <w:rPr>
                <w:sz w:val="20"/>
                <w:szCs w:val="20"/>
                <w:lang w:val="es-MX"/>
              </w:rPr>
              <w:t xml:space="preserve"> y </w:t>
            </w:r>
            <w:r w:rsidRPr="004A0E64">
              <w:rPr>
                <w:sz w:val="20"/>
                <w:szCs w:val="20"/>
                <w:lang w:val="es-MX"/>
              </w:rPr>
              <w:t>Juliana Valentina Gil Suárez</w:t>
            </w:r>
          </w:p>
        </w:tc>
      </w:tr>
      <w:tr w:rsidR="006637A9" w:rsidRPr="00FB6063" w14:paraId="3BD37CAD" w14:textId="77777777" w:rsidTr="00417CBD">
        <w:trPr>
          <w:trHeight w:val="1285"/>
        </w:trPr>
        <w:tc>
          <w:tcPr>
            <w:tcW w:w="752" w:type="dxa"/>
            <w:vMerge/>
          </w:tcPr>
          <w:p w14:paraId="733A26BB" w14:textId="77777777" w:rsidR="006637A9" w:rsidRPr="00FB6063" w:rsidRDefault="006637A9" w:rsidP="00417C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8ECD45D" w14:textId="77777777" w:rsidR="006637A9" w:rsidRPr="00FB6063" w:rsidRDefault="006637A9" w:rsidP="00417CBD">
            <w:pPr>
              <w:rPr>
                <w:sz w:val="20"/>
                <w:szCs w:val="20"/>
              </w:rPr>
            </w:pPr>
            <w:r w:rsidRPr="00FB6063">
              <w:rPr>
                <w:sz w:val="20"/>
                <w:szCs w:val="20"/>
              </w:rPr>
              <w:t>7:15 a 7:45 p.m.</w:t>
            </w:r>
          </w:p>
        </w:tc>
        <w:tc>
          <w:tcPr>
            <w:tcW w:w="5670" w:type="dxa"/>
            <w:vAlign w:val="center"/>
          </w:tcPr>
          <w:p w14:paraId="005AF0C6" w14:textId="77777777" w:rsidR="006637A9" w:rsidRPr="00871FB3" w:rsidRDefault="006637A9" w:rsidP="00417CBD">
            <w:pPr>
              <w:rPr>
                <w:sz w:val="20"/>
                <w:szCs w:val="20"/>
              </w:rPr>
            </w:pPr>
            <w:r w:rsidRPr="00871FB3">
              <w:rPr>
                <w:b/>
                <w:bCs/>
                <w:sz w:val="20"/>
                <w:szCs w:val="20"/>
              </w:rPr>
              <w:t>Dra. Helga Dworackzek Conde.</w:t>
            </w:r>
            <w:r w:rsidRPr="00871FB3">
              <w:rPr>
                <w:sz w:val="20"/>
                <w:szCs w:val="20"/>
              </w:rPr>
              <w:t xml:space="preserve"> Inteligencia Artificial en la Agricultura: Visión integral</w:t>
            </w:r>
          </w:p>
        </w:tc>
      </w:tr>
      <w:tr w:rsidR="006637A9" w:rsidRPr="00FB6063" w14:paraId="07176908" w14:textId="77777777" w:rsidTr="00417CBD">
        <w:trPr>
          <w:trHeight w:val="1261"/>
        </w:trPr>
        <w:tc>
          <w:tcPr>
            <w:tcW w:w="752" w:type="dxa"/>
            <w:vMerge/>
          </w:tcPr>
          <w:p w14:paraId="3B62BAC9" w14:textId="77777777" w:rsidR="006637A9" w:rsidRPr="00FB6063" w:rsidRDefault="006637A9" w:rsidP="00417CB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5A49340" w14:textId="14F9632D" w:rsidR="006637A9" w:rsidRPr="00FB6063" w:rsidRDefault="006637A9" w:rsidP="00417CBD">
            <w:pPr>
              <w:rPr>
                <w:sz w:val="20"/>
                <w:szCs w:val="20"/>
              </w:rPr>
            </w:pPr>
            <w:r w:rsidRPr="00FB6063">
              <w:rPr>
                <w:sz w:val="20"/>
                <w:szCs w:val="20"/>
              </w:rPr>
              <w:t>7:</w:t>
            </w:r>
            <w:r>
              <w:rPr>
                <w:sz w:val="20"/>
                <w:szCs w:val="20"/>
              </w:rPr>
              <w:t>50</w:t>
            </w:r>
            <w:r w:rsidRPr="00FB6063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8</w:t>
            </w:r>
            <w:r w:rsidRPr="00FB606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FB6063">
              <w:rPr>
                <w:sz w:val="20"/>
                <w:szCs w:val="20"/>
              </w:rPr>
              <w:t>5 p.m.</w:t>
            </w:r>
          </w:p>
        </w:tc>
        <w:tc>
          <w:tcPr>
            <w:tcW w:w="5670" w:type="dxa"/>
            <w:vAlign w:val="center"/>
          </w:tcPr>
          <w:p w14:paraId="0F6669A3" w14:textId="77777777" w:rsidR="006637A9" w:rsidRPr="004A0E64" w:rsidRDefault="006637A9" w:rsidP="00417CBD">
            <w:pPr>
              <w:rPr>
                <w:sz w:val="20"/>
                <w:szCs w:val="20"/>
                <w:lang w:val="es-MX"/>
              </w:rPr>
            </w:pPr>
            <w:r w:rsidRPr="004A0E64">
              <w:rPr>
                <w:sz w:val="20"/>
                <w:szCs w:val="20"/>
                <w:lang w:val="es-MX"/>
              </w:rPr>
              <w:t>Stock Out y Pérdida de Ventas: Un Análisis de la Cadena de Suministro en Almacén Nissan Peugeot</w:t>
            </w:r>
          </w:p>
          <w:p w14:paraId="66EF5832" w14:textId="77777777" w:rsidR="006637A9" w:rsidRPr="004A0E64" w:rsidRDefault="006637A9" w:rsidP="00417CBD">
            <w:pPr>
              <w:rPr>
                <w:sz w:val="20"/>
                <w:szCs w:val="20"/>
                <w:lang w:val="es-MX"/>
              </w:rPr>
            </w:pPr>
            <w:r w:rsidRPr="004A0E64">
              <w:rPr>
                <w:b/>
                <w:bCs/>
                <w:sz w:val="20"/>
                <w:szCs w:val="20"/>
              </w:rPr>
              <w:t xml:space="preserve">Semilleristas Unicafam: </w:t>
            </w:r>
            <w:r w:rsidRPr="004A0E64">
              <w:rPr>
                <w:sz w:val="20"/>
                <w:szCs w:val="20"/>
                <w:lang w:val="es-MX"/>
              </w:rPr>
              <w:t xml:space="preserve">Diana Valentina Morales Ospina, Nicoll </w:t>
            </w:r>
            <w:proofErr w:type="spellStart"/>
            <w:r w:rsidRPr="004A0E64">
              <w:rPr>
                <w:sz w:val="20"/>
                <w:szCs w:val="20"/>
                <w:lang w:val="es-MX"/>
              </w:rPr>
              <w:t>Dayanna</w:t>
            </w:r>
            <w:proofErr w:type="spellEnd"/>
            <w:r w:rsidRPr="004A0E64">
              <w:rPr>
                <w:sz w:val="20"/>
                <w:szCs w:val="20"/>
                <w:lang w:val="es-MX"/>
              </w:rPr>
              <w:t xml:space="preserve"> Borja Ruiz, Juan Pablo Castellano Ricardo, Luisa Daniela Martínez Granada</w:t>
            </w:r>
          </w:p>
        </w:tc>
      </w:tr>
    </w:tbl>
    <w:p w14:paraId="038F5702" w14:textId="77777777" w:rsidR="009674EC" w:rsidRDefault="00BD079A" w:rsidP="009674EC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  <w:r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  <w:t xml:space="preserve">II Encuentro de Megatendencias de los Negocios Internacionales: </w:t>
      </w:r>
      <w:r>
        <w:rPr>
          <w:rFonts w:ascii="Aptos Display" w:eastAsia="+mj-ea" w:hAnsi="Aptos Display" w:cs="+mj-cs"/>
          <w:b/>
          <w:bCs/>
          <w:color w:val="000000"/>
          <w:kern w:val="24"/>
          <w:sz w:val="28"/>
          <w:szCs w:val="28"/>
        </w:rPr>
        <w:br/>
      </w:r>
      <w:r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  <w:t>“Transformaciones digitales, sostenibles y geopolíticas en la competitividad global”</w:t>
      </w:r>
      <w:r w:rsidR="009674EC"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  <w:t xml:space="preserve"> </w:t>
      </w:r>
    </w:p>
    <w:p w14:paraId="78102D67" w14:textId="77777777" w:rsidR="00417CBD" w:rsidRPr="009674EC" w:rsidRDefault="00417CBD" w:rsidP="00417CBD">
      <w:pPr>
        <w:spacing w:line="216" w:lineRule="auto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  <w:r w:rsidRPr="00BD079A"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DIA </w:t>
      </w:r>
      <w:r>
        <w:rPr>
          <w:rFonts w:ascii="Aptos Display" w:eastAsia="+mj-ea" w:hAnsi="Aptos Display" w:cs="+mj-cs"/>
          <w:b/>
          <w:bCs/>
          <w:kern w:val="24"/>
          <w:sz w:val="28"/>
          <w:szCs w:val="28"/>
        </w:rPr>
        <w:t>2</w:t>
      </w:r>
      <w:r w:rsidRPr="00BD079A">
        <w:rPr>
          <w:rFonts w:ascii="Aptos Display" w:eastAsia="+mj-ea" w:hAnsi="Aptos Display" w:cs="+mj-cs"/>
          <w:b/>
          <w:bCs/>
          <w:kern w:val="24"/>
          <w:sz w:val="28"/>
          <w:szCs w:val="28"/>
        </w:rPr>
        <w:t xml:space="preserve">. </w:t>
      </w:r>
    </w:p>
    <w:p w14:paraId="1FEF2ABA" w14:textId="77777777" w:rsidR="00417CBD" w:rsidRDefault="00417CBD" w:rsidP="009674EC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7C89FAF2" w14:textId="77777777" w:rsidR="00417CBD" w:rsidRDefault="00417CBD" w:rsidP="009674EC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5D5A668B" w14:textId="77777777" w:rsidR="009674EC" w:rsidRDefault="009674EC" w:rsidP="00B57A4D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769A7E6D" w14:textId="77777777" w:rsidR="009674EC" w:rsidRDefault="009674EC" w:rsidP="00B57A4D">
      <w:pPr>
        <w:spacing w:line="216" w:lineRule="auto"/>
        <w:jc w:val="center"/>
        <w:rPr>
          <w:rFonts w:ascii="Aptos Display" w:eastAsia="+mj-ea" w:hAnsi="Aptos Display" w:cs="+mj-cs"/>
          <w:b/>
          <w:bCs/>
          <w:color w:val="4E95D9"/>
          <w:kern w:val="24"/>
          <w:sz w:val="28"/>
          <w:szCs w:val="28"/>
        </w:rPr>
      </w:pPr>
    </w:p>
    <w:p w14:paraId="24BF4F78" w14:textId="2B281B85" w:rsidR="00B746B1" w:rsidRDefault="00B746B1"/>
    <w:sectPr w:rsidR="00B746B1" w:rsidSect="00417CBD">
      <w:pgSz w:w="12240" w:h="15840"/>
      <w:pgMar w:top="1418" w:right="993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F9"/>
    <w:rsid w:val="000254F9"/>
    <w:rsid w:val="001142F7"/>
    <w:rsid w:val="0011626C"/>
    <w:rsid w:val="00223521"/>
    <w:rsid w:val="00417CBD"/>
    <w:rsid w:val="00657DA7"/>
    <w:rsid w:val="006637A9"/>
    <w:rsid w:val="00871FB3"/>
    <w:rsid w:val="009674EC"/>
    <w:rsid w:val="009B1C13"/>
    <w:rsid w:val="009E3DE8"/>
    <w:rsid w:val="00A750B6"/>
    <w:rsid w:val="00AE49F3"/>
    <w:rsid w:val="00B57A4D"/>
    <w:rsid w:val="00B746B1"/>
    <w:rsid w:val="00BD079A"/>
    <w:rsid w:val="00BF766B"/>
    <w:rsid w:val="00CD0AB3"/>
    <w:rsid w:val="00E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6DEF"/>
  <w15:chartTrackingRefBased/>
  <w15:docId w15:val="{1A3262A4-6BF8-4607-877B-8CB799E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F9"/>
  </w:style>
  <w:style w:type="paragraph" w:styleId="Ttulo1">
    <w:name w:val="heading 1"/>
    <w:basedOn w:val="Normal"/>
    <w:next w:val="Normal"/>
    <w:link w:val="Ttulo1Car"/>
    <w:uiPriority w:val="9"/>
    <w:qFormat/>
    <w:rsid w:val="0002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4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4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4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4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4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4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4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4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4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4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4F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2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Arleth Chaparro Rincon</dc:creator>
  <cp:keywords/>
  <dc:description/>
  <cp:lastModifiedBy>Arleth Chaparro Rincon</cp:lastModifiedBy>
  <cp:revision>2</cp:revision>
  <dcterms:created xsi:type="dcterms:W3CDTF">2026-04-30T20:19:00Z</dcterms:created>
  <dcterms:modified xsi:type="dcterms:W3CDTF">2026-04-30T20:19:00Z</dcterms:modified>
</cp:coreProperties>
</file>